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3596" w14:textId="758CA583" w:rsidR="00037C82" w:rsidRPr="00037C82" w:rsidRDefault="00037C82">
      <w:pPr>
        <w:rPr>
          <w:lang w:val="en-US"/>
        </w:rPr>
      </w:pPr>
      <w:r w:rsidRPr="00037C82">
        <w:rPr>
          <w:noProof/>
          <w:lang w:val="en-US"/>
        </w:rPr>
        <w:drawing>
          <wp:inline distT="0" distB="0" distL="0" distR="0" wp14:anchorId="2FB68861" wp14:editId="36FCE324">
            <wp:extent cx="6188710" cy="686435"/>
            <wp:effectExtent l="0" t="0" r="2540" b="0"/>
            <wp:docPr id="375613747"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613747" name="Grafika 375613747"/>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188710" cy="686435"/>
                    </a:xfrm>
                    <a:prstGeom prst="rect">
                      <a:avLst/>
                    </a:prstGeom>
                  </pic:spPr>
                </pic:pic>
              </a:graphicData>
            </a:graphic>
          </wp:inline>
        </w:drawing>
      </w:r>
    </w:p>
    <w:p w14:paraId="62FFE26B" w14:textId="77777777" w:rsidR="00037C82" w:rsidRDefault="00037C82">
      <w:pPr>
        <w:rPr>
          <w:lang w:val="en-US"/>
        </w:rPr>
      </w:pPr>
    </w:p>
    <w:p w14:paraId="55E58B82" w14:textId="70573E31" w:rsidR="00037C82" w:rsidRDefault="00000000">
      <w:pPr>
        <w:rPr>
          <w:lang w:val="en-US"/>
        </w:rPr>
      </w:pPr>
      <w:r w:rsidRPr="00037C82">
        <w:rPr>
          <w:lang w:val="en-US"/>
        </w:rPr>
        <w:t xml:space="preserve">This short statistics report was prepared for demonstration by </w:t>
      </w:r>
      <w:hyperlink r:id="rId9">
        <w:r w:rsidRPr="00037C82">
          <w:rPr>
            <w:i/>
            <w:iCs/>
            <w:lang w:val="en-US"/>
          </w:rPr>
          <w:t>PaperAccepted.net</w:t>
        </w:r>
      </w:hyperlink>
      <w:r w:rsidRPr="00037C82">
        <w:rPr>
          <w:lang w:val="en-US"/>
        </w:rPr>
        <w:t xml:space="preserve">. All our reports follow the IMRaD structure, consisting of publication-ready methods and results. </w:t>
      </w:r>
      <w:r w:rsidR="00037C82">
        <w:rPr>
          <w:lang w:val="en-US"/>
        </w:rPr>
        <w:t>Please go to</w:t>
      </w:r>
      <w:r w:rsidR="00037C82" w:rsidRPr="00037C82">
        <w:rPr>
          <w:lang w:val="en-US"/>
        </w:rPr>
        <w:t xml:space="preserve"> our website to see how we can help you </w:t>
      </w:r>
      <w:r w:rsidR="00037C82">
        <w:rPr>
          <w:lang w:val="en-US"/>
        </w:rPr>
        <w:t xml:space="preserve">get publishable results. </w:t>
      </w:r>
    </w:p>
    <w:p w14:paraId="23ACB879" w14:textId="54B8F03F" w:rsidR="00BB6B4B" w:rsidRPr="00037C82" w:rsidRDefault="00037C82">
      <w:pPr>
        <w:rPr>
          <w:lang w:val="en-US"/>
        </w:rPr>
      </w:pPr>
      <w:r w:rsidRPr="00037C82">
        <w:rPr>
          <w:lang w:val="en-US"/>
        </w:rPr>
        <w:t xml:space="preserve"> </w:t>
      </w:r>
    </w:p>
    <w:p w14:paraId="5BA4BBFB" w14:textId="31E47098" w:rsidR="00BB6B4B" w:rsidRPr="00037C82" w:rsidRDefault="00000000">
      <w:pPr>
        <w:rPr>
          <w:lang w:val="en-US"/>
        </w:rPr>
      </w:pPr>
      <w:bookmarkStart w:id="0" w:name="methods"/>
      <w:r w:rsidRPr="00037C82">
        <w:rPr>
          <w:b/>
          <w:bCs/>
          <w:lang w:val="en-US"/>
        </w:rPr>
        <w:t>Methods</w:t>
      </w:r>
    </w:p>
    <w:p w14:paraId="59CC7096" w14:textId="77777777" w:rsidR="00BB6B4B" w:rsidRPr="00037C82" w:rsidRDefault="00000000">
      <w:pPr>
        <w:rPr>
          <w:lang w:val="en-US"/>
        </w:rPr>
      </w:pPr>
      <w:bookmarkStart w:id="1" w:name="participants-and-setting"/>
      <w:r w:rsidRPr="00037C82">
        <w:rPr>
          <w:i/>
          <w:iCs/>
          <w:lang w:val="en-US"/>
        </w:rPr>
        <w:t>Participants and setting</w:t>
      </w:r>
    </w:p>
    <w:p w14:paraId="1308139F" w14:textId="77777777" w:rsidR="00BB6B4B" w:rsidRPr="00037C82" w:rsidRDefault="00000000">
      <w:pPr>
        <w:rPr>
          <w:lang w:val="en-US"/>
        </w:rPr>
      </w:pPr>
      <w:r w:rsidRPr="00037C82">
        <w:rPr>
          <w:lang w:val="en-US"/>
        </w:rPr>
        <w:t>     This was a prospective, single-center, non-interventional cohort study of patients with monoclonal gammopathy of undetermined significance (MGUS). We included newly diagnosed patients who agreed to take part in the study. The diagnosis of MGUS was made in accordance with the criteria of the International Myeloma Working Group. The study lasted from January 1986 to March 2022. Ethics approval was obtained from the local Ethics Committee. All patients signed informed consent before enrollment.</w:t>
      </w:r>
    </w:p>
    <w:p w14:paraId="37E5682B" w14:textId="77777777" w:rsidR="00BB6B4B" w:rsidRPr="00037C82" w:rsidRDefault="00BB6B4B">
      <w:pPr>
        <w:rPr>
          <w:lang w:val="en-US"/>
        </w:rPr>
      </w:pPr>
    </w:p>
    <w:p w14:paraId="76DA164E" w14:textId="77777777" w:rsidR="00BB6B4B" w:rsidRPr="00037C82" w:rsidRDefault="00000000">
      <w:pPr>
        <w:rPr>
          <w:lang w:val="en-US"/>
        </w:rPr>
      </w:pPr>
      <w:bookmarkStart w:id="2" w:name="outcomes"/>
      <w:bookmarkEnd w:id="1"/>
      <w:r w:rsidRPr="00037C82">
        <w:rPr>
          <w:i/>
          <w:iCs/>
          <w:lang w:val="en-US"/>
        </w:rPr>
        <w:t>Outcomes</w:t>
      </w:r>
    </w:p>
    <w:p w14:paraId="2796A2A0" w14:textId="77777777" w:rsidR="00BB6B4B" w:rsidRPr="00037C82" w:rsidRDefault="00000000">
      <w:pPr>
        <w:rPr>
          <w:lang w:val="en-US"/>
        </w:rPr>
      </w:pPr>
      <w:r w:rsidRPr="00037C82">
        <w:rPr>
          <w:lang w:val="en-US"/>
        </w:rPr>
        <w:t xml:space="preserve">     The main outcomes were overall survival and conversion to plasma cell myeloma (PCM). Survival status and the date of death were taken from the Nationwide Electronic Registry of the Ministry of Internal Affairs. Patients were assessed for conversion to PCM every 12 months or when clinically indicated. PCM was diagnosed when the concentration of monoclonal protein in serum was 3 g/dl or greater. We compared overall survival and conversion to PCM depending on the </w:t>
      </w:r>
      <w:r w:rsidRPr="00037C82">
        <w:rPr>
          <w:lang w:val="en-US"/>
        </w:rPr>
        <w:lastRenderedPageBreak/>
        <w:t>concentration of monoclonal protein in serum (M spike) at diagnosis, i.e., between patients with M spike concentrations above the median for the overall cohort (high M spike group) or below the median (low M spike group).</w:t>
      </w:r>
    </w:p>
    <w:p w14:paraId="58E9AA5E" w14:textId="77777777" w:rsidR="00BB6B4B" w:rsidRPr="00037C82" w:rsidRDefault="00BB6B4B">
      <w:pPr>
        <w:rPr>
          <w:lang w:val="en-US"/>
        </w:rPr>
      </w:pPr>
    </w:p>
    <w:p w14:paraId="1739B49D" w14:textId="77777777" w:rsidR="00BB6B4B" w:rsidRPr="00037C82" w:rsidRDefault="00000000">
      <w:pPr>
        <w:rPr>
          <w:lang w:val="en-US"/>
        </w:rPr>
      </w:pPr>
      <w:bookmarkStart w:id="3" w:name="statistical-analyses"/>
      <w:bookmarkEnd w:id="2"/>
      <w:r w:rsidRPr="00037C82">
        <w:rPr>
          <w:i/>
          <w:iCs/>
          <w:lang w:val="en-US"/>
        </w:rPr>
        <w:t>Statistical analyses</w:t>
      </w:r>
    </w:p>
    <w:p w14:paraId="1BD2A40F" w14:textId="77777777" w:rsidR="00BB6B4B" w:rsidRPr="00037C82" w:rsidRDefault="00000000">
      <w:pPr>
        <w:rPr>
          <w:lang w:val="en-US"/>
        </w:rPr>
      </w:pPr>
      <w:r w:rsidRPr="00037C82">
        <w:rPr>
          <w:lang w:val="en-US"/>
        </w:rPr>
        <w:t>     Baseline characteristics were analyzed descriptively and compared between the high and low M spike groups with the Wilcoxon rank sum test or the Chi-squared test. Overall survival was analyzed with Kaplan-Meier curves and was compared between the two groups with the log-rank test. A competing risk approach was used to analyze the rate of conversion to PCM, with death as a competing event. The cumulative incidence curves of conversion to PCM were compared between the high and low M spike groups with the Gray’s test. Survival rates and the rates of conversion to PCM were calculated at 5-year intervals from the diagnosis of MGUS. We used multivariate regression analyses to investigate the predictors of overall survival (Cox proportional hazards model) and of conversion to PCM (Fine-Gray subdistribution hazard model). Hazard ratios (HR) with 95% confidence interval (CIs) were calculated for the following predictors: baseline M spike concentration (high vs. low), sex, age, and hemoglobin and creatinine concentrations. The R software (v. 4.2.2) was used for all calculations. P-values &lt; 0.05 were considered statistically significant.</w:t>
      </w:r>
    </w:p>
    <w:p w14:paraId="7AEC8FB0" w14:textId="77777777" w:rsidR="00BB6B4B" w:rsidRPr="00037C82" w:rsidRDefault="00BB6B4B">
      <w:pPr>
        <w:rPr>
          <w:lang w:val="en-US"/>
        </w:rPr>
      </w:pPr>
    </w:p>
    <w:p w14:paraId="605154A3" w14:textId="77777777" w:rsidR="00BB6B4B" w:rsidRPr="00037C82" w:rsidRDefault="00000000">
      <w:pPr>
        <w:rPr>
          <w:lang w:val="en-US"/>
        </w:rPr>
      </w:pPr>
      <w:bookmarkStart w:id="4" w:name="results"/>
      <w:bookmarkEnd w:id="0"/>
      <w:bookmarkEnd w:id="3"/>
      <w:r w:rsidRPr="00037C82">
        <w:rPr>
          <w:b/>
          <w:bCs/>
          <w:lang w:val="en-US"/>
        </w:rPr>
        <w:t>Results</w:t>
      </w:r>
    </w:p>
    <w:p w14:paraId="2B28DB3D" w14:textId="77777777" w:rsidR="00BB6B4B" w:rsidRPr="00037C82" w:rsidRDefault="00000000">
      <w:pPr>
        <w:rPr>
          <w:lang w:val="en-US"/>
        </w:rPr>
      </w:pPr>
      <w:bookmarkStart w:id="5" w:name="cohort-characteristics"/>
      <w:r w:rsidRPr="00037C82">
        <w:rPr>
          <w:i/>
          <w:iCs/>
          <w:lang w:val="en-US"/>
        </w:rPr>
        <w:t>Cohort characteristics</w:t>
      </w:r>
    </w:p>
    <w:p w14:paraId="596F8DD2" w14:textId="77777777" w:rsidR="00BB6B4B" w:rsidRPr="00037C82" w:rsidRDefault="00000000">
      <w:pPr>
        <w:rPr>
          <w:lang w:val="en-US"/>
        </w:rPr>
      </w:pPr>
      <w:r w:rsidRPr="00037C82">
        <w:rPr>
          <w:lang w:val="en-US"/>
        </w:rPr>
        <w:t>     Of 1532 patients assessed for eligibility, 13 did not agree to take part, 118 already had PCM, and 28 were lost to follow-up (</w:t>
      </w:r>
      <w:hyperlink w:anchor="fig1">
        <w:r w:rsidRPr="00037C82">
          <w:rPr>
            <w:lang w:val="en-US"/>
          </w:rPr>
          <w:t>Fig. 1.</w:t>
        </w:r>
      </w:hyperlink>
      <w:r w:rsidRPr="00037C82">
        <w:rPr>
          <w:lang w:val="en-US"/>
        </w:rPr>
        <w:t xml:space="preserve"> shows patient selection). In total, we included data of 1373 patients with MGUS (54% male), at a median age of 72 years at diagnosis. Patients with high or low M spike </w:t>
      </w:r>
      <w:r w:rsidRPr="00037C82">
        <w:rPr>
          <w:lang w:val="en-US"/>
        </w:rPr>
        <w:lastRenderedPageBreak/>
        <w:t xml:space="preserve">concentrations did not differ significantly in baseline characteristics (see </w:t>
      </w:r>
      <w:hyperlink w:anchor="tab1">
        <w:r w:rsidRPr="00037C82">
          <w:rPr>
            <w:lang w:val="en-US"/>
          </w:rPr>
          <w:t>Tab. 1.</w:t>
        </w:r>
      </w:hyperlink>
      <w:r w:rsidRPr="00037C82">
        <w:rPr>
          <w:lang w:val="en-US"/>
        </w:rPr>
        <w:t xml:space="preserve"> for details). The median (interquartile range) duration of follow-up was similar in the two groups; low M spike group: 6.9 (3.4, 11.4) years, high M spike group: 7.1 (3.3, 12.1) years; p = 0.305.</w:t>
      </w:r>
    </w:p>
    <w:p w14:paraId="27A0A940" w14:textId="77777777" w:rsidR="00BB6B4B" w:rsidRPr="00037C82" w:rsidRDefault="00BB6B4B">
      <w:pPr>
        <w:rPr>
          <w:lang w:val="en-US"/>
        </w:rPr>
      </w:pPr>
    </w:p>
    <w:p w14:paraId="5989CEAB" w14:textId="77777777" w:rsidR="00BB6B4B" w:rsidRPr="00037C82" w:rsidRDefault="00000000">
      <w:pPr>
        <w:rPr>
          <w:lang w:val="en-US"/>
        </w:rPr>
      </w:pPr>
      <w:bookmarkStart w:id="6" w:name="outcomes-1"/>
      <w:bookmarkEnd w:id="5"/>
      <w:r w:rsidRPr="00037C82">
        <w:rPr>
          <w:i/>
          <w:iCs/>
          <w:lang w:val="en-US"/>
        </w:rPr>
        <w:t>Outcomes</w:t>
      </w:r>
    </w:p>
    <w:p w14:paraId="16CA6ED5" w14:textId="77777777" w:rsidR="00BB6B4B" w:rsidRPr="00037C82" w:rsidRDefault="00000000">
      <w:pPr>
        <w:rPr>
          <w:lang w:val="en-US"/>
        </w:rPr>
      </w:pPr>
      <w:r w:rsidRPr="00037C82">
        <w:rPr>
          <w:lang w:val="en-US"/>
        </w:rPr>
        <w:t xml:space="preserve">     Over a follow-up of 10999 person-years, 957 (69.7%) patients died, and 115 (8.38%) developed PCM. Overall survival did not differ significantly between the high and low M spike groups (p = 0.509, see </w:t>
      </w:r>
      <w:hyperlink w:anchor="fig2">
        <w:r w:rsidRPr="00037C82">
          <w:rPr>
            <w:lang w:val="en-US"/>
          </w:rPr>
          <w:t>Fig. 2A.</w:t>
        </w:r>
      </w:hyperlink>
      <w:r w:rsidRPr="00037C82">
        <w:rPr>
          <w:lang w:val="en-US"/>
        </w:rPr>
        <w:t xml:space="preserve">). The median survival (95% CI) was 8.1 (7.3, 8.8) years in the low M spike group and was 8.2 (7.6, 9.2) years in the high M spike group (see </w:t>
      </w:r>
      <w:hyperlink w:anchor="sup1">
        <w:r w:rsidRPr="00037C82">
          <w:rPr>
            <w:lang w:val="en-US"/>
          </w:rPr>
          <w:t>supp. Tab. S1.</w:t>
        </w:r>
      </w:hyperlink>
      <w:r w:rsidRPr="00037C82">
        <w:rPr>
          <w:lang w:val="en-US"/>
        </w:rPr>
        <w:t xml:space="preserve"> for survival rates at 5-year intervals from diagnosis of MGUS). The Cox proportional hazards regression showed that the risk of death was increased in older patients (HR = 1.06 [95% CI: 1.05 - 1.06]), men (HR = 1.58 [1.38 - 1.80]), and patients with lower hemoglobin concentrations (HR = 0.88 [0.85 - 0.91]) and greater creatinine concentrations at diagnosis of MGUS (HR = 1.05, [1.01 - 1.09]; see </w:t>
      </w:r>
      <w:hyperlink w:anchor="tab2">
        <w:r w:rsidRPr="00037C82">
          <w:rPr>
            <w:lang w:val="en-US"/>
          </w:rPr>
          <w:t>Tab. 2.</w:t>
        </w:r>
      </w:hyperlink>
      <w:r w:rsidRPr="00037C82">
        <w:rPr>
          <w:lang w:val="en-US"/>
        </w:rPr>
        <w:t xml:space="preserve"> for details).</w:t>
      </w:r>
      <w:r w:rsidRPr="00037C82">
        <w:rPr>
          <w:lang w:val="en-US"/>
        </w:rPr>
        <w:br/>
        <w:t xml:space="preserve">    Conversion to PCM was significantly more frequent in the high M spike group than in the low M spike group: 78 (12.4%) vs. 37 (4.96%) patients (p &lt; 0.001, </w:t>
      </w:r>
      <w:hyperlink w:anchor="fig2">
        <w:r w:rsidRPr="00037C82">
          <w:rPr>
            <w:lang w:val="en-US"/>
          </w:rPr>
          <w:t>Fig. 2B.</w:t>
        </w:r>
      </w:hyperlink>
      <w:r w:rsidRPr="00037C82">
        <w:rPr>
          <w:lang w:val="en-US"/>
        </w:rPr>
        <w:t xml:space="preserve">; </w:t>
      </w:r>
      <w:hyperlink w:anchor="sup2">
        <w:r w:rsidRPr="00037C82">
          <w:rPr>
            <w:lang w:val="en-US"/>
          </w:rPr>
          <w:t>supp. Tab. S2.</w:t>
        </w:r>
      </w:hyperlink>
      <w:r w:rsidRPr="00037C82">
        <w:rPr>
          <w:lang w:val="en-US"/>
        </w:rPr>
        <w:t xml:space="preserve">). In the multivariate regression analysis, significant predictors of conversion to PCM included high M spike concentrations (HR = 2.52, [95% CI: 1.70 - 3.73]) and younger age (HR = 0.98, [0.97 - 1.00]; see </w:t>
      </w:r>
      <w:hyperlink w:anchor="tab2">
        <w:r w:rsidRPr="00037C82">
          <w:rPr>
            <w:lang w:val="en-US"/>
          </w:rPr>
          <w:t>Tab. 2.</w:t>
        </w:r>
      </w:hyperlink>
      <w:r w:rsidRPr="00037C82">
        <w:rPr>
          <w:lang w:val="en-US"/>
        </w:rPr>
        <w:t xml:space="preserve"> for details).</w:t>
      </w:r>
    </w:p>
    <w:p w14:paraId="6F0AACC1" w14:textId="77777777" w:rsidR="00BB6B4B" w:rsidRPr="00037C82" w:rsidRDefault="00BB6B4B">
      <w:pPr>
        <w:rPr>
          <w:lang w:val="en-US"/>
        </w:rPr>
      </w:pPr>
    </w:p>
    <w:p w14:paraId="07925DFB" w14:textId="77777777" w:rsidR="00BB6B4B" w:rsidRPr="00037C82" w:rsidRDefault="00BB6B4B">
      <w:pPr>
        <w:rPr>
          <w:lang w:val="en-US"/>
        </w:rPr>
      </w:pPr>
    </w:p>
    <w:p w14:paraId="4B6EBB17" w14:textId="678A5C64" w:rsidR="00BB6B4B" w:rsidRPr="00037C82" w:rsidRDefault="00000000">
      <w:pPr>
        <w:rPr>
          <w:lang w:val="en-US"/>
        </w:rPr>
      </w:pPr>
      <w:r w:rsidRPr="00037C82">
        <w:rPr>
          <w:lang w:val="en-US"/>
        </w:rPr>
        <w:br w:type="page"/>
      </w:r>
      <w:bookmarkStart w:id="7" w:name="figures"/>
      <w:bookmarkEnd w:id="4"/>
      <w:bookmarkEnd w:id="6"/>
      <w:r w:rsidRPr="00037C82">
        <w:rPr>
          <w:lang w:val="en-US"/>
        </w:rPr>
        <w:lastRenderedPageBreak/>
        <w:t xml:space="preserve"> </w:t>
      </w:r>
    </w:p>
    <w:p w14:paraId="060AC935" w14:textId="77777777" w:rsidR="00037C82" w:rsidRDefault="00000000">
      <w:pPr>
        <w:rPr>
          <w:lang w:val="en-US"/>
        </w:rPr>
      </w:pPr>
      <w:r w:rsidRPr="00037C82">
        <w:rPr>
          <w:noProof/>
          <w:lang w:val="en-US"/>
        </w:rPr>
        <w:drawing>
          <wp:inline distT="0" distB="0" distL="0" distR="0" wp14:anchorId="3093A8B8" wp14:editId="2BBC5B22">
            <wp:extent cx="4620126" cy="3696101"/>
            <wp:effectExtent l="0" t="0" r="0" b="0"/>
            <wp:docPr id="31" name="Picture"/>
            <wp:cNvGraphicFramePr/>
            <a:graphic xmlns:a="http://schemas.openxmlformats.org/drawingml/2006/main">
              <a:graphicData uri="http://schemas.openxmlformats.org/drawingml/2006/picture">
                <pic:pic xmlns:pic="http://schemas.openxmlformats.org/drawingml/2006/picture">
                  <pic:nvPicPr>
                    <pic:cNvPr id="32" name="Picture" descr="example_report_files/figure-docx/unnamed-chunk-1-1.png"/>
                    <pic:cNvPicPr>
                      <a:picLocks noChangeAspect="1" noChangeArrowheads="1"/>
                    </pic:cNvPicPr>
                  </pic:nvPicPr>
                  <pic:blipFill>
                    <a:blip r:embed="rId10"/>
                    <a:stretch>
                      <a:fillRect/>
                    </a:stretch>
                  </pic:blipFill>
                  <pic:spPr bwMode="auto">
                    <a:xfrm>
                      <a:off x="0" y="0"/>
                      <a:ext cx="4620126" cy="3696101"/>
                    </a:xfrm>
                    <a:prstGeom prst="rect">
                      <a:avLst/>
                    </a:prstGeom>
                    <a:noFill/>
                    <a:ln w="9525">
                      <a:noFill/>
                      <a:headEnd/>
                      <a:tailEnd/>
                    </a:ln>
                  </pic:spPr>
                </pic:pic>
              </a:graphicData>
            </a:graphic>
          </wp:inline>
        </w:drawing>
      </w:r>
    </w:p>
    <w:p w14:paraId="720C471B" w14:textId="0D9E1EA8" w:rsidR="00BB6B4B" w:rsidRPr="00037C82" w:rsidRDefault="00000000">
      <w:pPr>
        <w:rPr>
          <w:lang w:val="en-US"/>
        </w:rPr>
      </w:pPr>
      <w:r w:rsidRPr="00037C82">
        <w:rPr>
          <w:lang w:val="en-US"/>
        </w:rPr>
        <w:t xml:space="preserve"> </w:t>
      </w:r>
      <w:r w:rsidRPr="00037C82">
        <w:rPr>
          <w:b/>
          <w:bCs/>
          <w:lang w:val="en-US"/>
        </w:rPr>
        <w:t>Figure 1.</w:t>
      </w:r>
      <w:r w:rsidRPr="00037C82">
        <w:rPr>
          <w:lang w:val="en-US"/>
        </w:rPr>
        <w:t xml:space="preserve"> Flowchart of patient selection. PCM, plasma cell myeloma.</w:t>
      </w:r>
    </w:p>
    <w:p w14:paraId="5C10CA46" w14:textId="77777777" w:rsidR="00BB6B4B" w:rsidRPr="00037C82" w:rsidRDefault="00BB6B4B">
      <w:pPr>
        <w:rPr>
          <w:lang w:val="en-US"/>
        </w:rPr>
      </w:pPr>
    </w:p>
    <w:p w14:paraId="0B2CB5D3" w14:textId="77777777" w:rsidR="00BB6B4B" w:rsidRPr="00037C82" w:rsidRDefault="00BB6B4B">
      <w:pPr>
        <w:rPr>
          <w:lang w:val="en-US"/>
        </w:rPr>
      </w:pPr>
    </w:p>
    <w:p w14:paraId="4D4823B0" w14:textId="77777777" w:rsidR="00BB6B4B" w:rsidRPr="00037C82" w:rsidRDefault="00000000">
      <w:pPr>
        <w:rPr>
          <w:lang w:val="en-US"/>
        </w:rPr>
      </w:pPr>
      <w:r w:rsidRPr="00037C82">
        <w:rPr>
          <w:lang w:val="en-US"/>
        </w:rPr>
        <w:t xml:space="preserve"> </w:t>
      </w:r>
    </w:p>
    <w:p w14:paraId="638DEE14" w14:textId="77777777" w:rsidR="00BB6B4B" w:rsidRPr="00037C82" w:rsidRDefault="00000000">
      <w:pPr>
        <w:rPr>
          <w:lang w:val="en-US"/>
        </w:rPr>
      </w:pPr>
      <w:r w:rsidRPr="00037C82">
        <w:rPr>
          <w:noProof/>
          <w:lang w:val="en-US"/>
        </w:rPr>
        <w:lastRenderedPageBreak/>
        <w:drawing>
          <wp:inline distT="0" distB="0" distL="0" distR="0" wp14:anchorId="7400FB58" wp14:editId="64B7508F">
            <wp:extent cx="6184900" cy="4638675"/>
            <wp:effectExtent l="0" t="0" r="0" b="0"/>
            <wp:docPr id="34" name="Picture"/>
            <wp:cNvGraphicFramePr/>
            <a:graphic xmlns:a="http://schemas.openxmlformats.org/drawingml/2006/main">
              <a:graphicData uri="http://schemas.openxmlformats.org/drawingml/2006/picture">
                <pic:pic xmlns:pic="http://schemas.openxmlformats.org/drawingml/2006/picture">
                  <pic:nvPicPr>
                    <pic:cNvPr id="35" name="Picture" descr="example_report_files/figure-docx/unnamed-chunk-2-1.png"/>
                    <pic:cNvPicPr>
                      <a:picLocks noChangeAspect="1" noChangeArrowheads="1"/>
                    </pic:cNvPicPr>
                  </pic:nvPicPr>
                  <pic:blipFill>
                    <a:blip r:embed="rId11"/>
                    <a:stretch>
                      <a:fillRect/>
                    </a:stretch>
                  </pic:blipFill>
                  <pic:spPr bwMode="auto">
                    <a:xfrm>
                      <a:off x="0" y="0"/>
                      <a:ext cx="6184900" cy="4638675"/>
                    </a:xfrm>
                    <a:prstGeom prst="rect">
                      <a:avLst/>
                    </a:prstGeom>
                    <a:noFill/>
                    <a:ln w="9525">
                      <a:noFill/>
                      <a:headEnd/>
                      <a:tailEnd/>
                    </a:ln>
                  </pic:spPr>
                </pic:pic>
              </a:graphicData>
            </a:graphic>
          </wp:inline>
        </w:drawing>
      </w:r>
    </w:p>
    <w:p w14:paraId="56F3589F" w14:textId="77777777" w:rsidR="00BB6B4B" w:rsidRPr="00037C82" w:rsidRDefault="00000000">
      <w:pPr>
        <w:rPr>
          <w:lang w:val="en-US"/>
        </w:rPr>
      </w:pPr>
      <w:r w:rsidRPr="00037C82">
        <w:rPr>
          <w:b/>
          <w:bCs/>
          <w:lang w:val="en-US"/>
        </w:rPr>
        <w:t>Figure 2.</w:t>
      </w:r>
      <w:r w:rsidRPr="00037C82">
        <w:rPr>
          <w:lang w:val="en-US"/>
        </w:rPr>
        <w:t xml:space="preserve"> Overall survival (A) and conversion to plasma cell myeloma (B) from diagnosis of monoclonal gammopathy of undetermined significance. Ribbons show 95% confidence intervals. Low M spike, patients with baseline monoclonal protein concentrations below median; high M spike, patients with baseline monoclonal protein concentrations above median; PCM, plasma cell myeloma</w:t>
      </w:r>
    </w:p>
    <w:p w14:paraId="509BA00E" w14:textId="77777777" w:rsidR="00BB6B4B" w:rsidRPr="00037C82" w:rsidRDefault="00000000">
      <w:pPr>
        <w:rPr>
          <w:lang w:val="en-US"/>
        </w:rPr>
      </w:pPr>
      <w:r w:rsidRPr="00037C82">
        <w:rPr>
          <w:lang w:val="en-US"/>
        </w:rPr>
        <w:t xml:space="preserve"> </w:t>
      </w:r>
    </w:p>
    <w:p w14:paraId="14DCF61E" w14:textId="77777777" w:rsidR="00037C82" w:rsidRDefault="00037C82">
      <w:pPr>
        <w:rPr>
          <w:lang w:val="en-US"/>
        </w:rPr>
      </w:pPr>
      <w:bookmarkStart w:id="8" w:name="tables"/>
      <w:bookmarkEnd w:id="7"/>
    </w:p>
    <w:p w14:paraId="0C9F1081" w14:textId="77777777" w:rsidR="00037C82" w:rsidRDefault="00037C82">
      <w:pPr>
        <w:rPr>
          <w:lang w:val="en-US"/>
        </w:rPr>
      </w:pPr>
    </w:p>
    <w:p w14:paraId="00947CC7" w14:textId="77777777" w:rsidR="00037C82" w:rsidRDefault="00037C82">
      <w:pPr>
        <w:rPr>
          <w:lang w:val="en-US"/>
        </w:rPr>
      </w:pPr>
    </w:p>
    <w:p w14:paraId="6330F094" w14:textId="77777777" w:rsidR="00037C82" w:rsidRDefault="00037C82">
      <w:pPr>
        <w:rPr>
          <w:lang w:val="en-US"/>
        </w:rPr>
      </w:pPr>
    </w:p>
    <w:p w14:paraId="447698AE" w14:textId="5B839D28" w:rsidR="00BB6B4B" w:rsidRPr="00037C82" w:rsidRDefault="00000000">
      <w:pPr>
        <w:rPr>
          <w:lang w:val="en-US"/>
        </w:rPr>
      </w:pPr>
      <w:r w:rsidRPr="00037C82">
        <w:rPr>
          <w:lang w:val="en-US"/>
        </w:rPr>
        <w:t xml:space="preserve"> </w:t>
      </w:r>
    </w:p>
    <w:p w14:paraId="14CC15FE" w14:textId="77777777" w:rsidR="00BB6B4B" w:rsidRPr="00037C82" w:rsidRDefault="00000000">
      <w:pPr>
        <w:rPr>
          <w:lang w:val="en-US"/>
        </w:rPr>
      </w:pPr>
      <w:r w:rsidRPr="00037C82">
        <w:rPr>
          <w:b/>
          <w:bCs/>
          <w:lang w:val="en-US"/>
        </w:rPr>
        <w:lastRenderedPageBreak/>
        <w:t>Table 1.</w:t>
      </w:r>
      <w:r w:rsidRPr="00037C82">
        <w:rPr>
          <w:lang w:val="en-US"/>
        </w:rPr>
        <w:t xml:space="preserve"> Baseline characteristics at diagnosis of MGUS</w:t>
      </w:r>
    </w:p>
    <w:tbl>
      <w:tblPr>
        <w:tblW w:w="0" w:type="pct"/>
        <w:tblLook w:val="0420" w:firstRow="1" w:lastRow="0" w:firstColumn="0" w:lastColumn="0" w:noHBand="0" w:noVBand="1"/>
      </w:tblPr>
      <w:tblGrid>
        <w:gridCol w:w="1929"/>
        <w:gridCol w:w="2123"/>
        <w:gridCol w:w="2327"/>
        <w:gridCol w:w="2373"/>
        <w:gridCol w:w="994"/>
      </w:tblGrid>
      <w:tr w:rsidR="00BB6B4B" w:rsidRPr="00037C82" w14:paraId="0A535779" w14:textId="77777777">
        <w:trPr>
          <w:tblHeader/>
        </w:trPr>
        <w:tc>
          <w:tcPr>
            <w:tcW w:w="0" w:type="auto"/>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4746F63"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Characteristic</w:t>
            </w:r>
          </w:p>
        </w:tc>
        <w:tc>
          <w:tcPr>
            <w:tcW w:w="0" w:type="auto"/>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31E2190F"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Overall, N = 1,373</w:t>
            </w:r>
            <w:r w:rsidRPr="00037C82">
              <w:rPr>
                <w:rFonts w:ascii="Arial" w:eastAsia="Arial" w:hAnsi="Arial" w:cs="Arial"/>
                <w:color w:val="000000"/>
                <w:sz w:val="22"/>
                <w:vertAlign w:val="superscript"/>
                <w:lang w:val="en-US"/>
              </w:rPr>
              <w:t>1</w:t>
            </w:r>
          </w:p>
        </w:tc>
        <w:tc>
          <w:tcPr>
            <w:tcW w:w="0" w:type="auto"/>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9E82419"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Low M spike, N = 746</w:t>
            </w:r>
            <w:r w:rsidRPr="00037C82">
              <w:rPr>
                <w:rFonts w:ascii="Arial" w:eastAsia="Arial" w:hAnsi="Arial" w:cs="Arial"/>
                <w:color w:val="000000"/>
                <w:sz w:val="22"/>
                <w:vertAlign w:val="superscript"/>
                <w:lang w:val="en-US"/>
              </w:rPr>
              <w:t>1</w:t>
            </w:r>
          </w:p>
        </w:tc>
        <w:tc>
          <w:tcPr>
            <w:tcW w:w="0" w:type="auto"/>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9BDB024"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High M spike, N = 627</w:t>
            </w:r>
            <w:r w:rsidRPr="00037C82">
              <w:rPr>
                <w:rFonts w:ascii="Arial" w:eastAsia="Arial" w:hAnsi="Arial" w:cs="Arial"/>
                <w:color w:val="000000"/>
                <w:sz w:val="22"/>
                <w:vertAlign w:val="superscript"/>
                <w:lang w:val="en-US"/>
              </w:rPr>
              <w:t>1</w:t>
            </w:r>
          </w:p>
        </w:tc>
        <w:tc>
          <w:tcPr>
            <w:tcW w:w="0" w:type="auto"/>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D1B45D9"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p-value</w:t>
            </w:r>
            <w:r w:rsidRPr="00037C82">
              <w:rPr>
                <w:rFonts w:ascii="Arial" w:eastAsia="Arial" w:hAnsi="Arial" w:cs="Arial"/>
                <w:color w:val="000000"/>
                <w:sz w:val="22"/>
                <w:vertAlign w:val="superscript"/>
                <w:lang w:val="en-US"/>
              </w:rPr>
              <w:t>2</w:t>
            </w:r>
          </w:p>
        </w:tc>
      </w:tr>
      <w:tr w:rsidR="00BB6B4B" w:rsidRPr="00037C82" w14:paraId="41E23E27" w14:textId="77777777">
        <w:tc>
          <w:tcPr>
            <w:tcW w:w="0" w:type="auto"/>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4F74EE"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Age (years)</w:t>
            </w:r>
          </w:p>
        </w:tc>
        <w:tc>
          <w:tcPr>
            <w:tcW w:w="0" w:type="auto"/>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459C3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72 (63, 79)</w:t>
            </w:r>
          </w:p>
        </w:tc>
        <w:tc>
          <w:tcPr>
            <w:tcW w:w="0" w:type="auto"/>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87987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72 (63, 79)</w:t>
            </w:r>
          </w:p>
        </w:tc>
        <w:tc>
          <w:tcPr>
            <w:tcW w:w="0" w:type="auto"/>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EF0F1E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72 (63, 79)</w:t>
            </w:r>
          </w:p>
        </w:tc>
        <w:tc>
          <w:tcPr>
            <w:tcW w:w="0" w:type="auto"/>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7E3C7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0.874</w:t>
            </w:r>
          </w:p>
        </w:tc>
      </w:tr>
      <w:tr w:rsidR="00BB6B4B" w:rsidRPr="00037C82" w14:paraId="172FF53F" w14:textId="77777777">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F773C8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Sex</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58EEA4"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AC7D1E2"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ECBAFCF"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24507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0.293</w:t>
            </w:r>
          </w:p>
        </w:tc>
      </w:tr>
      <w:tr w:rsidR="00BB6B4B" w:rsidRPr="00037C82" w14:paraId="72B000AC" w14:textId="77777777">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5E029B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300" w:right="100"/>
              <w:rPr>
                <w:lang w:val="en-US"/>
              </w:rPr>
            </w:pPr>
            <w:r w:rsidRPr="00037C82">
              <w:rPr>
                <w:rFonts w:ascii="Arial" w:eastAsia="Arial" w:hAnsi="Arial" w:cs="Arial"/>
                <w:color w:val="000000"/>
                <w:sz w:val="22"/>
                <w:lang w:val="en-US"/>
              </w:rPr>
              <w:t>Female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3ACEAF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627 (46%)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BBE898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331 (44%)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AFCA2E"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296 (47%)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DEC0606"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r>
      <w:tr w:rsidR="00BB6B4B" w:rsidRPr="00037C82" w14:paraId="32CE1490" w14:textId="77777777">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16C74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300" w:right="100"/>
              <w:rPr>
                <w:lang w:val="en-US"/>
              </w:rPr>
            </w:pPr>
            <w:r w:rsidRPr="00037C82">
              <w:rPr>
                <w:rFonts w:ascii="Arial" w:eastAsia="Arial" w:hAnsi="Arial" w:cs="Arial"/>
                <w:color w:val="000000"/>
                <w:sz w:val="22"/>
                <w:lang w:val="en-US"/>
              </w:rPr>
              <w:t>Male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E81EA7"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746 (54%)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ECAC0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415 (56%)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91888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331 (53%)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305F8A"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r>
      <w:tr w:rsidR="00BB6B4B" w:rsidRPr="00037C82" w14:paraId="34997E55" w14:textId="77777777">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6F7B39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Hemoglobin (g/dl)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7B0F163"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13.50 (12.20, 14.70)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A29146B"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13.60 (12.20, 14.70)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01223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13.50 (12.20, 14.80)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78A6D8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0.537</w:t>
            </w:r>
          </w:p>
        </w:tc>
      </w:tr>
      <w:tr w:rsidR="00BB6B4B" w:rsidRPr="00037C82" w14:paraId="593A2138" w14:textId="77777777">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9060FC"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Creatinine (mg/dl)</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0E5A92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1.10 (0.90, 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96C52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1.10 (0.90, 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417869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1.10 (0.90, 1.30)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9466D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0.632</w:t>
            </w:r>
          </w:p>
        </w:tc>
      </w:tr>
      <w:tr w:rsidR="00BB6B4B" w:rsidRPr="00037C82" w14:paraId="398F8994" w14:textId="77777777">
        <w:tc>
          <w:tcPr>
            <w:tcW w:w="0" w:type="auto"/>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2619366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M spike (g/dl)</w:t>
            </w:r>
          </w:p>
        </w:tc>
        <w:tc>
          <w:tcPr>
            <w:tcW w:w="0" w:type="auto"/>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3048540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1.20 (0.60, 1.50)</w:t>
            </w:r>
          </w:p>
        </w:tc>
        <w:tc>
          <w:tcPr>
            <w:tcW w:w="0" w:type="auto"/>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61CC3EC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0.70 (0.50, 1.00)</w:t>
            </w:r>
          </w:p>
        </w:tc>
        <w:tc>
          <w:tcPr>
            <w:tcW w:w="0" w:type="auto"/>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73910E8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1.60 (1.40, 1.80)</w:t>
            </w:r>
          </w:p>
        </w:tc>
        <w:tc>
          <w:tcPr>
            <w:tcW w:w="0" w:type="auto"/>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1EE7B17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b/>
                <w:color w:val="000000"/>
                <w:sz w:val="22"/>
                <w:lang w:val="en-US"/>
              </w:rPr>
              <w:t>&lt;0.001</w:t>
            </w:r>
          </w:p>
        </w:tc>
      </w:tr>
      <w:tr w:rsidR="00BB6B4B" w:rsidRPr="00037C82" w14:paraId="0C20B814" w14:textId="77777777">
        <w:tc>
          <w:tcPr>
            <w:tcW w:w="0" w:type="auto"/>
            <w:gridSpan w:val="5"/>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DD5D2"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vertAlign w:val="superscript"/>
                <w:lang w:val="en-US"/>
              </w:rPr>
              <w:t>1</w:t>
            </w:r>
            <w:r w:rsidRPr="00037C82">
              <w:rPr>
                <w:rFonts w:ascii="Arial" w:eastAsia="Arial" w:hAnsi="Arial" w:cs="Arial"/>
                <w:color w:val="000000"/>
                <w:sz w:val="22"/>
                <w:lang w:val="en-US"/>
              </w:rPr>
              <w:t>Median (IQR); n (%)</w:t>
            </w:r>
          </w:p>
        </w:tc>
      </w:tr>
      <w:tr w:rsidR="00BB6B4B" w:rsidRPr="00037C82" w14:paraId="3886DB92" w14:textId="77777777">
        <w:tc>
          <w:tcPr>
            <w:tcW w:w="0" w:type="auto"/>
            <w:gridSpan w:val="5"/>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E42822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vertAlign w:val="superscript"/>
                <w:lang w:val="en-US"/>
              </w:rPr>
              <w:t>2</w:t>
            </w:r>
            <w:r w:rsidRPr="00037C82">
              <w:rPr>
                <w:rFonts w:ascii="Arial" w:eastAsia="Arial" w:hAnsi="Arial" w:cs="Arial"/>
                <w:color w:val="000000"/>
                <w:sz w:val="22"/>
                <w:lang w:val="en-US"/>
              </w:rPr>
              <w:t>Wilcoxon rank sum test; Pearson's Chi-squared test</w:t>
            </w:r>
          </w:p>
        </w:tc>
      </w:tr>
    </w:tbl>
    <w:p w14:paraId="28A230A1" w14:textId="77777777" w:rsidR="00BB6B4B" w:rsidRPr="00037C82" w:rsidRDefault="00000000">
      <w:pPr>
        <w:rPr>
          <w:lang w:val="en-US"/>
        </w:rPr>
      </w:pPr>
      <w:r w:rsidRPr="00037C82">
        <w:rPr>
          <w:lang w:val="en-US"/>
        </w:rPr>
        <w:t xml:space="preserve">IQR, interquartile range; Low M spike, patients with concentrations of monoclonal protein at diagnosis below the median value for the overall cohort; High M spike, patients with concentrations of monoclonal protein at diagnosis above the median value for the overall cohort. MGUS, monoclonal gammopathy of undetermined significance. </w:t>
      </w:r>
    </w:p>
    <w:p w14:paraId="713059FE" w14:textId="77777777" w:rsidR="00BB6B4B" w:rsidRPr="00037C82" w:rsidRDefault="00BB6B4B">
      <w:pPr>
        <w:rPr>
          <w:lang w:val="en-US"/>
        </w:rPr>
      </w:pPr>
    </w:p>
    <w:p w14:paraId="66F94661" w14:textId="77777777" w:rsidR="00BB6B4B" w:rsidRPr="00037C82" w:rsidRDefault="00000000">
      <w:pPr>
        <w:rPr>
          <w:lang w:val="en-US"/>
        </w:rPr>
      </w:pPr>
      <w:r w:rsidRPr="00037C82">
        <w:rPr>
          <w:lang w:val="en-US"/>
        </w:rPr>
        <w:br w:type="page"/>
      </w:r>
    </w:p>
    <w:p w14:paraId="040DE0AB" w14:textId="77777777" w:rsidR="00BB6B4B" w:rsidRPr="00037C82" w:rsidRDefault="00000000">
      <w:pPr>
        <w:rPr>
          <w:lang w:val="en-US"/>
        </w:rPr>
      </w:pPr>
      <w:r w:rsidRPr="00037C82">
        <w:rPr>
          <w:b/>
          <w:bCs/>
          <w:lang w:val="en-US"/>
        </w:rPr>
        <w:lastRenderedPageBreak/>
        <w:t>Table 2.</w:t>
      </w:r>
      <w:r w:rsidRPr="00037C82">
        <w:rPr>
          <w:lang w:val="en-US"/>
        </w:rPr>
        <w:t xml:space="preserve"> Predictors of death and conversion to PCM in multivariate regression models  </w:t>
      </w:r>
    </w:p>
    <w:tbl>
      <w:tblPr>
        <w:tblW w:w="0" w:type="auto"/>
        <w:tblLayout w:type="fixed"/>
        <w:tblLook w:val="0420" w:firstRow="1" w:lastRow="0" w:firstColumn="0" w:lastColumn="0" w:noHBand="0" w:noVBand="1"/>
      </w:tblPr>
      <w:tblGrid>
        <w:gridCol w:w="3370"/>
        <w:gridCol w:w="839"/>
        <w:gridCol w:w="1389"/>
        <w:gridCol w:w="1132"/>
        <w:gridCol w:w="839"/>
        <w:gridCol w:w="1389"/>
        <w:gridCol w:w="1132"/>
      </w:tblGrid>
      <w:tr w:rsidR="00BB6B4B" w:rsidRPr="00037C82" w14:paraId="6DEA08C6" w14:textId="77777777">
        <w:trPr>
          <w:tblHeader/>
        </w:trPr>
        <w:tc>
          <w:tcPr>
            <w:tcW w:w="3370" w:type="dxa"/>
            <w:tcBorders>
              <w:top w:val="single" w:sz="16"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370A30A"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 xml:space="preserve"> </w:t>
            </w:r>
          </w:p>
        </w:tc>
        <w:tc>
          <w:tcPr>
            <w:tcW w:w="3360" w:type="dxa"/>
            <w:gridSpan w:val="3"/>
            <w:tcBorders>
              <w:top w:val="single" w:sz="16"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332B82D6"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Death</w:t>
            </w:r>
          </w:p>
        </w:tc>
        <w:tc>
          <w:tcPr>
            <w:tcW w:w="3360" w:type="dxa"/>
            <w:gridSpan w:val="3"/>
            <w:tcBorders>
              <w:top w:val="single" w:sz="16" w:space="0" w:color="666666"/>
              <w:left w:val="none" w:sz="0" w:space="0" w:color="000000"/>
              <w:bottom w:val="single" w:sz="8" w:space="0" w:color="666666"/>
              <w:right w:val="none" w:sz="0" w:space="0" w:color="000000"/>
            </w:tcBorders>
            <w:shd w:val="clear" w:color="auto" w:fill="FFFFFF"/>
            <w:tcMar>
              <w:top w:w="0" w:type="dxa"/>
              <w:left w:w="0" w:type="dxa"/>
              <w:bottom w:w="0" w:type="dxa"/>
              <w:right w:w="0" w:type="dxa"/>
            </w:tcMar>
            <w:vAlign w:val="center"/>
          </w:tcPr>
          <w:p w14:paraId="27471B2B"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PCM</w:t>
            </w:r>
          </w:p>
        </w:tc>
      </w:tr>
      <w:tr w:rsidR="00BB6B4B" w:rsidRPr="00037C82" w14:paraId="1224A0CF" w14:textId="77777777">
        <w:trPr>
          <w:tblHeader/>
        </w:trPr>
        <w:tc>
          <w:tcPr>
            <w:tcW w:w="3370"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65F910F"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Characteristic</w:t>
            </w:r>
          </w:p>
        </w:tc>
        <w:tc>
          <w:tcPr>
            <w:tcW w:w="839"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B4CD379"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HR</w:t>
            </w:r>
            <w:r w:rsidRPr="00037C82">
              <w:rPr>
                <w:rFonts w:ascii="Arial" w:eastAsia="Arial" w:hAnsi="Arial" w:cs="Arial"/>
                <w:color w:val="000000"/>
                <w:sz w:val="22"/>
                <w:vertAlign w:val="superscript"/>
                <w:lang w:val="en-US"/>
              </w:rPr>
              <w:t>1</w:t>
            </w:r>
          </w:p>
        </w:tc>
        <w:tc>
          <w:tcPr>
            <w:tcW w:w="1389"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D59BFCB"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95% CI</w:t>
            </w:r>
            <w:r w:rsidRPr="00037C82">
              <w:rPr>
                <w:rFonts w:ascii="Arial" w:eastAsia="Arial" w:hAnsi="Arial" w:cs="Arial"/>
                <w:color w:val="000000"/>
                <w:sz w:val="22"/>
                <w:vertAlign w:val="superscript"/>
                <w:lang w:val="en-US"/>
              </w:rPr>
              <w:t>1</w:t>
            </w:r>
          </w:p>
        </w:tc>
        <w:tc>
          <w:tcPr>
            <w:tcW w:w="1132"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71FABBB"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p-value</w:t>
            </w:r>
          </w:p>
        </w:tc>
        <w:tc>
          <w:tcPr>
            <w:tcW w:w="839"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50C0EBB"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HR</w:t>
            </w:r>
            <w:r w:rsidRPr="00037C82">
              <w:rPr>
                <w:rFonts w:ascii="Arial" w:eastAsia="Arial" w:hAnsi="Arial" w:cs="Arial"/>
                <w:color w:val="000000"/>
                <w:sz w:val="22"/>
                <w:vertAlign w:val="superscript"/>
                <w:lang w:val="en-US"/>
              </w:rPr>
              <w:t>1</w:t>
            </w:r>
          </w:p>
        </w:tc>
        <w:tc>
          <w:tcPr>
            <w:tcW w:w="1389"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A9E080D"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95% CI</w:t>
            </w:r>
            <w:r w:rsidRPr="00037C82">
              <w:rPr>
                <w:rFonts w:ascii="Arial" w:eastAsia="Arial" w:hAnsi="Arial" w:cs="Arial"/>
                <w:color w:val="000000"/>
                <w:sz w:val="22"/>
                <w:vertAlign w:val="superscript"/>
                <w:lang w:val="en-US"/>
              </w:rPr>
              <w:t>1</w:t>
            </w:r>
          </w:p>
        </w:tc>
        <w:tc>
          <w:tcPr>
            <w:tcW w:w="1132" w:type="dxa"/>
            <w:tcBorders>
              <w:top w:val="single" w:sz="8"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BA7DF0C" w14:textId="77777777" w:rsidR="00BB6B4B" w:rsidRPr="00037C82" w:rsidRDefault="00000000">
            <w:pPr>
              <w:pBdr>
                <w:top w:val="none" w:sz="0" w:space="0" w:color="000000"/>
                <w:left w:val="none" w:sz="0" w:space="0" w:color="000000"/>
                <w:bottom w:val="none" w:sz="0" w:space="0" w:color="000000"/>
                <w:right w:val="none" w:sz="0" w:space="0" w:color="000000"/>
              </w:pBdr>
              <w:spacing w:before="40" w:after="40" w:line="240" w:lineRule="auto"/>
              <w:ind w:left="100" w:right="100"/>
              <w:rPr>
                <w:lang w:val="en-US"/>
              </w:rPr>
            </w:pPr>
            <w:r w:rsidRPr="00037C82">
              <w:rPr>
                <w:rFonts w:ascii="Arial" w:eastAsia="Arial" w:hAnsi="Arial" w:cs="Arial"/>
                <w:color w:val="000000"/>
                <w:sz w:val="22"/>
                <w:lang w:val="en-US"/>
              </w:rPr>
              <w:t>p-value</w:t>
            </w:r>
          </w:p>
        </w:tc>
      </w:tr>
      <w:tr w:rsidR="00BB6B4B" w:rsidRPr="00037C82" w14:paraId="1CF2AC25" w14:textId="77777777">
        <w:tc>
          <w:tcPr>
            <w:tcW w:w="3370"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39E9B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M spike at diagnosis of MGUS</w:t>
            </w:r>
          </w:p>
        </w:tc>
        <w:tc>
          <w:tcPr>
            <w:tcW w:w="83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2C6B92A"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38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BA4AE3"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132"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D7BD02"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83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7AC7B2"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389"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4BECED"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132"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4CD2434"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r>
      <w:tr w:rsidR="00BB6B4B" w:rsidRPr="00037C82" w14:paraId="4F9DCBF1" w14:textId="77777777">
        <w:tc>
          <w:tcPr>
            <w:tcW w:w="337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C2C55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300" w:right="100"/>
              <w:rPr>
                <w:lang w:val="en-US"/>
              </w:rPr>
            </w:pPr>
            <w:r w:rsidRPr="00037C82">
              <w:rPr>
                <w:rFonts w:ascii="Arial" w:eastAsia="Arial" w:hAnsi="Arial" w:cs="Arial"/>
                <w:color w:val="000000"/>
                <w:sz w:val="22"/>
                <w:lang w:val="en-US"/>
              </w:rPr>
              <w:t>Low M spike</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19291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494D3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E230661"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0B865D7"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D27E88E"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F118EBE"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r>
      <w:tr w:rsidR="00BB6B4B" w:rsidRPr="00037C82" w14:paraId="6F43DE3F" w14:textId="77777777">
        <w:tc>
          <w:tcPr>
            <w:tcW w:w="337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3A5A9E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300" w:right="100"/>
              <w:rPr>
                <w:lang w:val="en-US"/>
              </w:rPr>
            </w:pPr>
            <w:r w:rsidRPr="00037C82">
              <w:rPr>
                <w:rFonts w:ascii="Arial" w:eastAsia="Arial" w:hAnsi="Arial" w:cs="Arial"/>
                <w:color w:val="000000"/>
                <w:sz w:val="22"/>
                <w:lang w:val="en-US"/>
              </w:rPr>
              <w:t>High M spike</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72E19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1.05</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34581B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0.92, 1.20</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C8E798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0.440</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0DA5D9C"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2.52</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445EA7C"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1.70, 3.73</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941757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b/>
                <w:color w:val="000000"/>
                <w:sz w:val="22"/>
                <w:lang w:val="en-US"/>
              </w:rPr>
              <w:t>&lt;0.001</w:t>
            </w:r>
          </w:p>
        </w:tc>
      </w:tr>
      <w:tr w:rsidR="00BB6B4B" w:rsidRPr="00037C82" w14:paraId="5EA374D3" w14:textId="77777777">
        <w:tc>
          <w:tcPr>
            <w:tcW w:w="337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B2017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Age (years)</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CEDE48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1.06</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D65DE4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1.05, 1.06</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80CF03B"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b/>
                <w:color w:val="000000"/>
                <w:sz w:val="22"/>
                <w:lang w:val="en-US"/>
              </w:rPr>
              <w:t>&lt;0.001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368E83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0.98</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AA26013"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0.97, 1.0</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24C92A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b/>
                <w:color w:val="000000"/>
                <w:sz w:val="22"/>
                <w:lang w:val="en-US"/>
              </w:rPr>
              <w:t>0.005</w:t>
            </w:r>
          </w:p>
        </w:tc>
      </w:tr>
      <w:tr w:rsidR="00BB6B4B" w:rsidRPr="00037C82" w14:paraId="5B70FEF9" w14:textId="77777777">
        <w:tc>
          <w:tcPr>
            <w:tcW w:w="337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FC5A02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Sex</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B9E391C"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001B673"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CC113FE"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628FCA6"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712C12"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9B4781F"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r>
      <w:tr w:rsidR="00BB6B4B" w:rsidRPr="00037C82" w14:paraId="64D930E0" w14:textId="77777777">
        <w:tc>
          <w:tcPr>
            <w:tcW w:w="337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8F27BC3"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300" w:right="100"/>
              <w:rPr>
                <w:lang w:val="en-US"/>
              </w:rPr>
            </w:pPr>
            <w:r w:rsidRPr="00037C82">
              <w:rPr>
                <w:rFonts w:ascii="Arial" w:eastAsia="Arial" w:hAnsi="Arial" w:cs="Arial"/>
                <w:color w:val="000000"/>
                <w:sz w:val="22"/>
                <w:lang w:val="en-US"/>
              </w:rPr>
              <w:t>Female</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982B17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5E01DD2"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1E4BC1B"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114833"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650BB80C"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DA0974E" w14:textId="77777777" w:rsidR="00BB6B4B" w:rsidRPr="00037C82" w:rsidRDefault="00BB6B4B">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p>
        </w:tc>
      </w:tr>
      <w:tr w:rsidR="00BB6B4B" w:rsidRPr="00037C82" w14:paraId="42E211C0" w14:textId="77777777">
        <w:tc>
          <w:tcPr>
            <w:tcW w:w="337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B34DB4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300" w:right="100"/>
              <w:rPr>
                <w:lang w:val="en-US"/>
              </w:rPr>
            </w:pPr>
            <w:r w:rsidRPr="00037C82">
              <w:rPr>
                <w:rFonts w:ascii="Arial" w:eastAsia="Arial" w:hAnsi="Arial" w:cs="Arial"/>
                <w:color w:val="000000"/>
                <w:sz w:val="22"/>
                <w:lang w:val="en-US"/>
              </w:rPr>
              <w:t>Male</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5CD7E8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1.58</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77BB00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1.38, 1.80</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4F1CABB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b/>
                <w:color w:val="000000"/>
                <w:sz w:val="22"/>
                <w:lang w:val="en-US"/>
              </w:rPr>
              <w:t>&lt;0.001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19F5A8D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0.87</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05BDE0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0.59, 1.28</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5F61B823"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0.470</w:t>
            </w:r>
          </w:p>
        </w:tc>
      </w:tr>
      <w:tr w:rsidR="00BB6B4B" w:rsidRPr="00037C82" w14:paraId="6F94D7CE" w14:textId="77777777">
        <w:tc>
          <w:tcPr>
            <w:tcW w:w="3370"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5CFBE5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Hemoglobin (g/dl)</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DC6671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0.88</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7F6E133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0.85, 0.91</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CE3AC0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b/>
                <w:color w:val="000000"/>
                <w:sz w:val="22"/>
                <w:lang w:val="en-US"/>
              </w:rPr>
              <w:t>&lt;0.001</w:t>
            </w:r>
          </w:p>
        </w:tc>
        <w:tc>
          <w:tcPr>
            <w:tcW w:w="83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054B3F0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0.96</w:t>
            </w:r>
          </w:p>
        </w:tc>
        <w:tc>
          <w:tcPr>
            <w:tcW w:w="1389"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32BD585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0.87, 1.05</w:t>
            </w:r>
          </w:p>
        </w:tc>
        <w:tc>
          <w:tcPr>
            <w:tcW w:w="1132"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tcPr>
          <w:p w14:paraId="24F1E96E"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0.370</w:t>
            </w:r>
          </w:p>
        </w:tc>
      </w:tr>
      <w:tr w:rsidR="00BB6B4B" w:rsidRPr="00037C82" w14:paraId="5C3C03EB" w14:textId="77777777">
        <w:tc>
          <w:tcPr>
            <w:tcW w:w="3370"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3C27F88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Creatinine (mg/dl)</w:t>
            </w:r>
          </w:p>
        </w:tc>
        <w:tc>
          <w:tcPr>
            <w:tcW w:w="83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6476A5F7"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1.05</w:t>
            </w:r>
          </w:p>
        </w:tc>
        <w:tc>
          <w:tcPr>
            <w:tcW w:w="138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36C9DAC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1.01, 1.09</w:t>
            </w:r>
          </w:p>
        </w:tc>
        <w:tc>
          <w:tcPr>
            <w:tcW w:w="1132"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78DB13A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b/>
                <w:color w:val="000000"/>
                <w:sz w:val="22"/>
                <w:lang w:val="en-US"/>
              </w:rPr>
              <w:t>0.009</w:t>
            </w:r>
          </w:p>
        </w:tc>
        <w:tc>
          <w:tcPr>
            <w:tcW w:w="83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078CF3B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0.71</w:t>
            </w:r>
          </w:p>
        </w:tc>
        <w:tc>
          <w:tcPr>
            <w:tcW w:w="1389"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456D658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0.46, 1.12</w:t>
            </w:r>
          </w:p>
        </w:tc>
        <w:tc>
          <w:tcPr>
            <w:tcW w:w="1132"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tcPr>
          <w:p w14:paraId="10DBD30B"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0.140</w:t>
            </w:r>
          </w:p>
        </w:tc>
      </w:tr>
      <w:tr w:rsidR="00BB6B4B" w:rsidRPr="00037C82" w14:paraId="153847DA" w14:textId="77777777">
        <w:tc>
          <w:tcPr>
            <w:tcW w:w="10090" w:type="dxa"/>
            <w:gridSpan w:val="7"/>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56F2DA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vertAlign w:val="superscript"/>
                <w:lang w:val="en-US"/>
              </w:rPr>
              <w:t>1</w:t>
            </w:r>
            <w:r w:rsidRPr="00037C82">
              <w:rPr>
                <w:rFonts w:ascii="Arial" w:eastAsia="Arial" w:hAnsi="Arial" w:cs="Arial"/>
                <w:color w:val="000000"/>
                <w:sz w:val="22"/>
                <w:lang w:val="en-US"/>
              </w:rPr>
              <w:t>HR = Hazard Ratio, CI = Confidence Interval</w:t>
            </w:r>
          </w:p>
        </w:tc>
      </w:tr>
    </w:tbl>
    <w:p w14:paraId="2B292F4B" w14:textId="77777777" w:rsidR="00BB6B4B" w:rsidRPr="00037C82" w:rsidRDefault="00000000">
      <w:pPr>
        <w:rPr>
          <w:lang w:val="en-US"/>
        </w:rPr>
      </w:pPr>
      <w:r w:rsidRPr="00037C82">
        <w:rPr>
          <w:lang w:val="en-US"/>
        </w:rPr>
        <w:t xml:space="preserve">Cox proportional hazards regression was used to analyzed predictors of death. Fine-Gray subdistribution hazard model was used to study predictors of conversion to PCM. Low M spike, patients with concentrations of monoclonal protein at diagnosis below the median value for the overall cohort; High M spike, patients with concentrations of monoclonal protein at diagnosis above the median value for the overall cohort; MGUS, monoclonal gammopathy of undetermined significance; PCM, plasma cell myeloma. </w:t>
      </w:r>
    </w:p>
    <w:p w14:paraId="66081374" w14:textId="77777777" w:rsidR="00BB6B4B" w:rsidRPr="00037C82" w:rsidRDefault="00BB6B4B">
      <w:pPr>
        <w:rPr>
          <w:lang w:val="en-US"/>
        </w:rPr>
      </w:pPr>
    </w:p>
    <w:p w14:paraId="5EDF46B8" w14:textId="77777777" w:rsidR="00BB6B4B" w:rsidRPr="00037C82" w:rsidRDefault="00000000">
      <w:pPr>
        <w:rPr>
          <w:lang w:val="en-US"/>
        </w:rPr>
      </w:pPr>
      <w:r w:rsidRPr="00037C82">
        <w:rPr>
          <w:lang w:val="en-US"/>
        </w:rPr>
        <w:br w:type="page"/>
      </w:r>
    </w:p>
    <w:p w14:paraId="36A8EB2B" w14:textId="77777777" w:rsidR="00BB6B4B" w:rsidRPr="00037C82" w:rsidRDefault="00000000">
      <w:pPr>
        <w:rPr>
          <w:lang w:val="en-US"/>
        </w:rPr>
      </w:pPr>
      <w:bookmarkStart w:id="9" w:name="supplemental-material"/>
      <w:bookmarkEnd w:id="8"/>
      <w:r w:rsidRPr="00037C82">
        <w:rPr>
          <w:b/>
          <w:bCs/>
          <w:lang w:val="en-US"/>
        </w:rPr>
        <w:lastRenderedPageBreak/>
        <w:t>Supplemental material</w:t>
      </w:r>
    </w:p>
    <w:p w14:paraId="0952A0CC" w14:textId="77777777" w:rsidR="00BB6B4B" w:rsidRPr="00037C82" w:rsidRDefault="00000000">
      <w:pPr>
        <w:rPr>
          <w:lang w:val="en-US"/>
        </w:rPr>
      </w:pPr>
      <w:r w:rsidRPr="00037C82">
        <w:rPr>
          <w:lang w:val="en-US"/>
        </w:rPr>
        <w:t xml:space="preserve">  </w:t>
      </w:r>
      <w:r w:rsidRPr="00037C82">
        <w:rPr>
          <w:b/>
          <w:bCs/>
          <w:lang w:val="en-US"/>
        </w:rPr>
        <w:t>Table S1.</w:t>
      </w:r>
      <w:r w:rsidRPr="00037C82">
        <w:rPr>
          <w:lang w:val="en-US"/>
        </w:rPr>
        <w:t xml:space="preserve"> Survival rates from diagnosis of MGUS</w:t>
      </w:r>
    </w:p>
    <w:tbl>
      <w:tblPr>
        <w:tblW w:w="0" w:type="auto"/>
        <w:tblLayout w:type="fixed"/>
        <w:tblLook w:val="0420" w:firstRow="1" w:lastRow="0" w:firstColumn="0" w:lastColumn="0" w:noHBand="0" w:noVBand="1"/>
      </w:tblPr>
      <w:tblGrid>
        <w:gridCol w:w="1364"/>
        <w:gridCol w:w="2184"/>
        <w:gridCol w:w="2184"/>
      </w:tblGrid>
      <w:tr w:rsidR="00BB6B4B" w:rsidRPr="00037C82" w14:paraId="421A6C6F" w14:textId="77777777">
        <w:trPr>
          <w:tblHeader/>
        </w:trPr>
        <w:tc>
          <w:tcPr>
            <w:tcW w:w="13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1EF733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Follow-up</w:t>
            </w:r>
          </w:p>
        </w:tc>
        <w:tc>
          <w:tcPr>
            <w:tcW w:w="218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A2425A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Low M spike</w:t>
            </w:r>
          </w:p>
        </w:tc>
        <w:tc>
          <w:tcPr>
            <w:tcW w:w="218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7C455B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High M spike</w:t>
            </w:r>
          </w:p>
        </w:tc>
      </w:tr>
      <w:tr w:rsidR="00BB6B4B" w:rsidRPr="00037C82" w14:paraId="57AA5D1F" w14:textId="77777777">
        <w:tc>
          <w:tcPr>
            <w:tcW w:w="13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EB57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5 years</w:t>
            </w:r>
          </w:p>
        </w:tc>
        <w:tc>
          <w:tcPr>
            <w:tcW w:w="218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44799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67% (63%, 70%)</w:t>
            </w:r>
          </w:p>
        </w:tc>
        <w:tc>
          <w:tcPr>
            <w:tcW w:w="218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F943C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66% (62%, 70%)</w:t>
            </w:r>
          </w:p>
        </w:tc>
      </w:tr>
      <w:tr w:rsidR="00BB6B4B" w:rsidRPr="00037C82" w14:paraId="5735ED9E"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345B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10 years</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5E342"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41% (38%, 45%)</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FC1EC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42% (38%, 46%)</w:t>
            </w:r>
          </w:p>
        </w:tc>
      </w:tr>
      <w:tr w:rsidR="00BB6B4B" w:rsidRPr="00037C82" w14:paraId="033F8001"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9B61E"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15 years</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C7013"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25% (22%, 29%)</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642DD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27% (23%, 31%)</w:t>
            </w:r>
          </w:p>
        </w:tc>
      </w:tr>
      <w:tr w:rsidR="00BB6B4B" w:rsidRPr="00037C82" w14:paraId="10E50981"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1E6A4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20 years</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EE27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17% (13%, 22%)</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A27EB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20% (17%, 25%)</w:t>
            </w:r>
          </w:p>
        </w:tc>
      </w:tr>
      <w:tr w:rsidR="00BB6B4B" w:rsidRPr="00037C82" w14:paraId="0BB20F7C"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A627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25 years</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906FCF"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15% (11%, 21%)</w:t>
            </w:r>
          </w:p>
        </w:tc>
        <w:tc>
          <w:tcPr>
            <w:tcW w:w="218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1E265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11% (7.3%, 16%)</w:t>
            </w:r>
          </w:p>
        </w:tc>
      </w:tr>
      <w:tr w:rsidR="00BB6B4B" w:rsidRPr="00037C82" w14:paraId="408ADAEF" w14:textId="77777777">
        <w:tc>
          <w:tcPr>
            <w:tcW w:w="13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908B1C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30 years</w:t>
            </w:r>
          </w:p>
        </w:tc>
        <w:tc>
          <w:tcPr>
            <w:tcW w:w="218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6D992629"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8.3% (3.3%, 21%)</w:t>
            </w:r>
          </w:p>
        </w:tc>
        <w:tc>
          <w:tcPr>
            <w:tcW w:w="218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759F14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6.4% (2.5%, 16%)</w:t>
            </w:r>
          </w:p>
        </w:tc>
      </w:tr>
    </w:tbl>
    <w:p w14:paraId="29FDD300" w14:textId="77777777" w:rsidR="00BB6B4B" w:rsidRPr="00037C82" w:rsidRDefault="00000000">
      <w:pPr>
        <w:rPr>
          <w:lang w:val="en-US"/>
        </w:rPr>
      </w:pPr>
      <w:r w:rsidRPr="00037C82">
        <w:rPr>
          <w:lang w:val="en-US"/>
        </w:rPr>
        <w:t>Values show percentages of surviving patients (95% confidence intervals). Low M spike, patients with concentrations of monoclonal protein at diagnosis below the median value for the overall cohort; High M spike, patients with concentrations of monoclonal protein at diagnosis above the median value for the overall cohort; MGUS, monoclonal gammopathy of undetermined significance.</w:t>
      </w:r>
      <w:r w:rsidRPr="00037C82">
        <w:rPr>
          <w:lang w:val="en-US"/>
        </w:rPr>
        <w:br/>
      </w:r>
    </w:p>
    <w:p w14:paraId="0994681E" w14:textId="77777777" w:rsidR="00BB6B4B" w:rsidRPr="00037C82" w:rsidRDefault="00000000">
      <w:pPr>
        <w:rPr>
          <w:lang w:val="en-US"/>
        </w:rPr>
      </w:pPr>
      <w:r w:rsidRPr="00037C82">
        <w:rPr>
          <w:lang w:val="en-US"/>
        </w:rPr>
        <w:br w:type="page"/>
      </w:r>
    </w:p>
    <w:p w14:paraId="1D6AF475" w14:textId="77777777" w:rsidR="00BB6B4B" w:rsidRPr="00037C82" w:rsidRDefault="00000000">
      <w:pPr>
        <w:rPr>
          <w:lang w:val="en-US"/>
        </w:rPr>
      </w:pPr>
      <w:r w:rsidRPr="00037C82">
        <w:rPr>
          <w:lang w:val="en-US"/>
        </w:rPr>
        <w:lastRenderedPageBreak/>
        <w:t xml:space="preserve">   </w:t>
      </w:r>
      <w:r w:rsidRPr="00037C82">
        <w:rPr>
          <w:b/>
          <w:bCs/>
          <w:lang w:val="en-US"/>
        </w:rPr>
        <w:t>Table S2.</w:t>
      </w:r>
      <w:r w:rsidRPr="00037C82">
        <w:rPr>
          <w:lang w:val="en-US"/>
        </w:rPr>
        <w:t xml:space="preserve"> Conversion to PCM from diagnosis of MGUS</w:t>
      </w:r>
    </w:p>
    <w:tbl>
      <w:tblPr>
        <w:tblW w:w="0" w:type="auto"/>
        <w:tblLayout w:type="fixed"/>
        <w:tblLook w:val="0420" w:firstRow="1" w:lastRow="0" w:firstColumn="0" w:lastColumn="0" w:noHBand="0" w:noVBand="1"/>
      </w:tblPr>
      <w:tblGrid>
        <w:gridCol w:w="1364"/>
        <w:gridCol w:w="2245"/>
        <w:gridCol w:w="2245"/>
      </w:tblGrid>
      <w:tr w:rsidR="00BB6B4B" w:rsidRPr="00037C82" w14:paraId="1FC4E0ED" w14:textId="77777777">
        <w:trPr>
          <w:tblHeader/>
        </w:trPr>
        <w:tc>
          <w:tcPr>
            <w:tcW w:w="1364"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2B30F0C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Follow-up</w:t>
            </w:r>
          </w:p>
        </w:tc>
        <w:tc>
          <w:tcPr>
            <w:tcW w:w="2245"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0F9154E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Low M spike</w:t>
            </w:r>
          </w:p>
        </w:tc>
        <w:tc>
          <w:tcPr>
            <w:tcW w:w="2245" w:type="dxa"/>
            <w:tcBorders>
              <w:top w:val="single" w:sz="16" w:space="0" w:color="666666"/>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55725F7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High M spike</w:t>
            </w:r>
          </w:p>
        </w:tc>
      </w:tr>
      <w:tr w:rsidR="00BB6B4B" w:rsidRPr="00037C82" w14:paraId="584850C5" w14:textId="77777777">
        <w:tc>
          <w:tcPr>
            <w:tcW w:w="1364"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59A45"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5 years</w:t>
            </w:r>
          </w:p>
        </w:tc>
        <w:tc>
          <w:tcPr>
            <w:tcW w:w="2245"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2C2F6C"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1.9% (1.1%, 3.1%)</w:t>
            </w:r>
          </w:p>
        </w:tc>
        <w:tc>
          <w:tcPr>
            <w:tcW w:w="2245" w:type="dxa"/>
            <w:tcBorders>
              <w:top w:val="single" w:sz="16"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3FA5B"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5.3% (3.7%, 7.2%)</w:t>
            </w:r>
          </w:p>
        </w:tc>
      </w:tr>
      <w:tr w:rsidR="00BB6B4B" w:rsidRPr="00037C82" w14:paraId="50904AB2"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F7BFE"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10 years</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4A4B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4.2% (2.8%, 5.8%)</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04B2A"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9.1% (6.9%, 12%)</w:t>
            </w:r>
          </w:p>
        </w:tc>
      </w:tr>
      <w:tr w:rsidR="00BB6B4B" w:rsidRPr="00037C82" w14:paraId="1F1EE405"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E709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15 years</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82609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5.5% (3.9%, 7.6%)</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F835B"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12% (9.8%, 15%)</w:t>
            </w:r>
          </w:p>
        </w:tc>
      </w:tr>
      <w:tr w:rsidR="00BB6B4B" w:rsidRPr="00037C82" w14:paraId="7E01426C"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1E62D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20 years</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C3AA53"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6.3% (4.4%, 8.6%)</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A1DA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14% (11%, 17%)</w:t>
            </w:r>
          </w:p>
        </w:tc>
      </w:tr>
      <w:tr w:rsidR="00BB6B4B" w:rsidRPr="00037C82" w14:paraId="2D87AEF7" w14:textId="77777777">
        <w:tc>
          <w:tcPr>
            <w:tcW w:w="1364"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E1B81"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25 years</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1D77D"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6.3% (4.4%, 8.6%)</w:t>
            </w:r>
          </w:p>
        </w:tc>
        <w:tc>
          <w:tcPr>
            <w:tcW w:w="2245" w:type="dxa"/>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4B604"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16% (12%, 20%)</w:t>
            </w:r>
          </w:p>
        </w:tc>
      </w:tr>
      <w:tr w:rsidR="00BB6B4B" w:rsidRPr="00037C82" w14:paraId="72709040" w14:textId="77777777">
        <w:tc>
          <w:tcPr>
            <w:tcW w:w="1364"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495008C8"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30 years</w:t>
            </w:r>
          </w:p>
        </w:tc>
        <w:tc>
          <w:tcPr>
            <w:tcW w:w="2245"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1E6DAC56"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6.3% (4.4%, 8.6%)</w:t>
            </w:r>
          </w:p>
        </w:tc>
        <w:tc>
          <w:tcPr>
            <w:tcW w:w="2245" w:type="dxa"/>
            <w:tcBorders>
              <w:top w:val="none" w:sz="0" w:space="0" w:color="000000"/>
              <w:left w:val="none" w:sz="0" w:space="0" w:color="000000"/>
              <w:bottom w:val="single" w:sz="16" w:space="0" w:color="666666"/>
              <w:right w:val="none" w:sz="0" w:space="0" w:color="000000"/>
            </w:tcBorders>
            <w:shd w:val="clear" w:color="auto" w:fill="FFFFFF"/>
            <w:tcMar>
              <w:top w:w="0" w:type="dxa"/>
              <w:left w:w="0" w:type="dxa"/>
              <w:bottom w:w="0" w:type="dxa"/>
              <w:right w:w="0" w:type="dxa"/>
            </w:tcMar>
            <w:vAlign w:val="center"/>
          </w:tcPr>
          <w:p w14:paraId="70792440" w14:textId="77777777" w:rsidR="00BB6B4B" w:rsidRPr="00037C82" w:rsidRDefault="00000000">
            <w:pPr>
              <w:pBdr>
                <w:top w:val="none" w:sz="0" w:space="0" w:color="000000"/>
                <w:left w:val="none" w:sz="0" w:space="0" w:color="000000"/>
                <w:bottom w:val="none" w:sz="0" w:space="0" w:color="000000"/>
                <w:right w:val="none" w:sz="0" w:space="0" w:color="000000"/>
              </w:pBdr>
              <w:spacing w:before="100" w:after="100" w:line="240" w:lineRule="auto"/>
              <w:ind w:left="100" w:right="100"/>
              <w:rPr>
                <w:lang w:val="en-US"/>
              </w:rPr>
            </w:pPr>
            <w:r w:rsidRPr="00037C82">
              <w:rPr>
                <w:rFonts w:ascii="Arial" w:eastAsia="Arial" w:hAnsi="Arial" w:cs="Arial"/>
                <w:color w:val="000000"/>
                <w:sz w:val="22"/>
                <w:lang w:val="en-US"/>
              </w:rPr>
              <w:t>19% (14%, 25%)</w:t>
            </w:r>
          </w:p>
        </w:tc>
      </w:tr>
    </w:tbl>
    <w:p w14:paraId="635AE1C2" w14:textId="77777777" w:rsidR="00BB6B4B" w:rsidRPr="00037C82" w:rsidRDefault="00000000">
      <w:pPr>
        <w:rPr>
          <w:lang w:val="en-US"/>
        </w:rPr>
      </w:pPr>
      <w:r w:rsidRPr="00037C82">
        <w:rPr>
          <w:lang w:val="en-US"/>
        </w:rPr>
        <w:t>Values show percentages of patients developing PCM (95% confidence intervals). Low M spike, patients with concentrations of monoclonal protein at diagnosis below the median value for the overall cohort; High M spike, patients with concentrations of monoclonal protein at diagnosis above the median value for the overall cohort; MGUS, monoclonal gammopathy of undetermined significance; PCM, plasma cell myeloma.</w:t>
      </w:r>
      <w:bookmarkEnd w:id="9"/>
    </w:p>
    <w:sectPr w:rsidR="00BB6B4B" w:rsidRPr="00037C82" w:rsidSect="00FF4AAF">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8122" w14:textId="77777777" w:rsidR="00984517" w:rsidRDefault="00984517">
      <w:pPr>
        <w:spacing w:after="0" w:line="240" w:lineRule="auto"/>
      </w:pPr>
      <w:r>
        <w:separator/>
      </w:r>
    </w:p>
  </w:endnote>
  <w:endnote w:type="continuationSeparator" w:id="0">
    <w:p w14:paraId="2D85AF5B" w14:textId="77777777" w:rsidR="00984517" w:rsidRDefault="0098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404155"/>
      <w:docPartObj>
        <w:docPartGallery w:val="Page Numbers (Bottom of Page)"/>
        <w:docPartUnique/>
      </w:docPartObj>
    </w:sdtPr>
    <w:sdtContent>
      <w:p w14:paraId="3445A45E" w14:textId="77777777" w:rsidR="00637D62" w:rsidRDefault="00000000">
        <w:pPr>
          <w:pStyle w:val="Stopka"/>
          <w:jc w:val="center"/>
        </w:pPr>
        <w:r>
          <w:fldChar w:fldCharType="begin"/>
        </w:r>
        <w:r>
          <w:instrText>PAGE   \* MERGEFORMAT</w:instrText>
        </w:r>
        <w:r>
          <w:fldChar w:fldCharType="separate"/>
        </w:r>
        <w:r>
          <w:t>2</w:t>
        </w:r>
        <w:r>
          <w:fldChar w:fldCharType="end"/>
        </w:r>
      </w:p>
    </w:sdtContent>
  </w:sdt>
  <w:p w14:paraId="6EBF7154" w14:textId="77777777" w:rsidR="00330037"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D86EE" w14:textId="77777777" w:rsidR="00984517" w:rsidRDefault="00984517">
      <w:r>
        <w:separator/>
      </w:r>
    </w:p>
  </w:footnote>
  <w:footnote w:type="continuationSeparator" w:id="0">
    <w:p w14:paraId="2489445A" w14:textId="77777777" w:rsidR="00984517" w:rsidRDefault="00984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D1695" w14:textId="77777777" w:rsidR="00617EED" w:rsidRDefault="00000000">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3B16326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523253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4B"/>
    <w:rsid w:val="00007EF1"/>
    <w:rsid w:val="00037C82"/>
    <w:rsid w:val="007D034B"/>
    <w:rsid w:val="00984517"/>
    <w:rsid w:val="00BB6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7B08"/>
  <w15:docId w15:val="{FF9E20C2-F1E8-41C9-8E53-285DF914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404E"/>
    <w:pPr>
      <w:spacing w:line="480" w:lineRule="auto"/>
    </w:pPr>
    <w:rPr>
      <w:rFonts w:ascii="Times New Roman" w:hAnsi="Times New Roman"/>
      <w:sz w:val="24"/>
    </w:rPr>
  </w:style>
  <w:style w:type="paragraph" w:styleId="Nagwek1">
    <w:name w:val="heading 1"/>
    <w:basedOn w:val="Normalny"/>
    <w:next w:val="Normalny"/>
    <w:link w:val="Nagwek1Znak"/>
    <w:uiPriority w:val="9"/>
    <w:qFormat/>
    <w:rsid w:val="00A3404E"/>
    <w:pPr>
      <w:keepNext/>
      <w:keepLines/>
      <w:spacing w:before="240" w:after="0"/>
      <w:outlineLvl w:val="0"/>
    </w:pPr>
    <w:rPr>
      <w:rFonts w:eastAsiaTheme="majorEastAsia" w:cstheme="majorBidi"/>
      <w:b/>
      <w:color w:val="000000" w:themeColor="text1"/>
      <w:sz w:val="28"/>
      <w:szCs w:val="32"/>
    </w:rPr>
  </w:style>
  <w:style w:type="paragraph" w:styleId="Nagwek2">
    <w:name w:val="heading 2"/>
    <w:basedOn w:val="Normalny"/>
    <w:next w:val="Normalny"/>
    <w:link w:val="Nagwek2Znak"/>
    <w:uiPriority w:val="9"/>
    <w:unhideWhenUsed/>
    <w:qFormat/>
    <w:rsid w:val="00A3404E"/>
    <w:pPr>
      <w:keepNext/>
      <w:keepLines/>
      <w:spacing w:before="40" w:after="0"/>
      <w:outlineLvl w:val="1"/>
    </w:pPr>
    <w:rPr>
      <w:rFonts w:eastAsiaTheme="majorEastAsia" w:cstheme="majorBidi"/>
      <w:i/>
      <w:color w:val="000000" w:themeColor="text1"/>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40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04E"/>
    <w:rPr>
      <w:rFonts w:ascii="Times New Roman" w:hAnsi="Times New Roman"/>
      <w:sz w:val="24"/>
    </w:rPr>
  </w:style>
  <w:style w:type="paragraph" w:styleId="Stopka">
    <w:name w:val="footer"/>
    <w:basedOn w:val="Normalny"/>
    <w:link w:val="StopkaZnak"/>
    <w:uiPriority w:val="99"/>
    <w:unhideWhenUsed/>
    <w:rsid w:val="00A340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04E"/>
    <w:rPr>
      <w:rFonts w:ascii="Times New Roman" w:hAnsi="Times New Roman"/>
      <w:sz w:val="24"/>
    </w:rPr>
  </w:style>
  <w:style w:type="character" w:customStyle="1" w:styleId="Nagwek1Znak">
    <w:name w:val="Nagłówek 1 Znak"/>
    <w:basedOn w:val="Domylnaczcionkaakapitu"/>
    <w:link w:val="Nagwek1"/>
    <w:uiPriority w:val="9"/>
    <w:rsid w:val="00A3404E"/>
    <w:rPr>
      <w:rFonts w:ascii="Times New Roman" w:eastAsiaTheme="majorEastAsia" w:hAnsi="Times New Roman" w:cstheme="majorBidi"/>
      <w:b/>
      <w:color w:val="000000" w:themeColor="text1"/>
      <w:sz w:val="28"/>
      <w:szCs w:val="32"/>
    </w:rPr>
  </w:style>
  <w:style w:type="character" w:customStyle="1" w:styleId="Nagwek2Znak">
    <w:name w:val="Nagłówek 2 Znak"/>
    <w:basedOn w:val="Domylnaczcionkaakapitu"/>
    <w:link w:val="Nagwek2"/>
    <w:uiPriority w:val="9"/>
    <w:rsid w:val="00A3404E"/>
    <w:rPr>
      <w:rFonts w:ascii="Times New Roman" w:eastAsiaTheme="majorEastAsia" w:hAnsi="Times New Roman" w:cstheme="majorBidi"/>
      <w:i/>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aperaccepted.ne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1251</Words>
  <Characters>7507</Characters>
  <Application>Microsoft Office Word</Application>
  <DocSecurity>0</DocSecurity>
  <Lines>62</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Author</cp:lastModifiedBy>
  <cp:revision>2</cp:revision>
  <dcterms:created xsi:type="dcterms:W3CDTF">2023-05-09T10:41:00Z</dcterms:created>
  <dcterms:modified xsi:type="dcterms:W3CDTF">2023-05-30T10:42:00Z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